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40"/>
        <w:tblW w:w="10756" w:type="dxa"/>
        <w:tblLook w:val="04A0"/>
      </w:tblPr>
      <w:tblGrid>
        <w:gridCol w:w="1893"/>
        <w:gridCol w:w="2996"/>
        <w:gridCol w:w="1581"/>
        <w:gridCol w:w="1456"/>
        <w:gridCol w:w="1415"/>
        <w:gridCol w:w="1415"/>
      </w:tblGrid>
      <w:tr w:rsidR="00EE6BD8" w:rsidRPr="00EE6BD8" w:rsidTr="00EE6BD8">
        <w:trPr>
          <w:trHeight w:val="43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28"/>
                <w:szCs w:val="2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8"/>
                <w:szCs w:val="28"/>
              </w:rPr>
              <w:t xml:space="preserve">上海人民广播电台东方都市广播   </w:t>
            </w: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0"/>
                <w:szCs w:val="20"/>
              </w:rPr>
              <w:t xml:space="preserve">( AM792 / FM89.9  )  </w:t>
            </w: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8"/>
                <w:szCs w:val="28"/>
              </w:rPr>
              <w:t xml:space="preserve">   </w:t>
            </w:r>
          </w:p>
        </w:tc>
      </w:tr>
      <w:tr w:rsidR="00EE6BD8" w:rsidRPr="00EE6BD8" w:rsidTr="00EE6BD8">
        <w:trPr>
          <w:trHeight w:val="34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中宋" w:eastAsia="华文中宋" w:hAnsi="华文中宋" w:cs="Times New Roman"/>
                <w:b/>
                <w:bCs/>
                <w:kern w:val="0"/>
                <w:sz w:val="20"/>
                <w:szCs w:val="20"/>
              </w:rPr>
            </w:pPr>
            <w:r w:rsidRPr="00EE6BD8">
              <w:rPr>
                <w:rFonts w:ascii="华文中宋" w:eastAsia="华文中宋" w:hAnsi="华文中宋" w:cs="Times New Roman" w:hint="eastAsia"/>
                <w:b/>
                <w:bCs/>
                <w:kern w:val="0"/>
                <w:sz w:val="20"/>
                <w:szCs w:val="20"/>
              </w:rPr>
              <w:t xml:space="preserve">   广    告    价    目    表  </w:t>
            </w:r>
            <w:r w:rsidRPr="00EE6BD8">
              <w:rPr>
                <w:rFonts w:ascii="华文中宋" w:eastAsia="华文中宋" w:hAnsi="华文中宋" w:cs="Times New Roman" w:hint="eastAsia"/>
                <w:kern w:val="0"/>
                <w:sz w:val="20"/>
                <w:szCs w:val="20"/>
              </w:rPr>
              <w:t>（9：00～次日6：00）</w:t>
            </w:r>
          </w:p>
        </w:tc>
      </w:tr>
      <w:tr w:rsidR="00EE6BD8" w:rsidRPr="00EE6BD8" w:rsidTr="00EE6BD8">
        <w:trPr>
          <w:trHeight w:val="255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中宋" w:eastAsia="华文中宋" w:hAnsi="华文中宋" w:cs="Times New Roman" w:hint="eastAsia"/>
                <w:kern w:val="0"/>
                <w:sz w:val="18"/>
                <w:szCs w:val="18"/>
              </w:rPr>
              <w:t>2011年1月1日起实行</w:t>
            </w:r>
          </w:p>
        </w:tc>
      </w:tr>
      <w:tr w:rsidR="00EE6BD8" w:rsidRPr="00EE6BD8" w:rsidTr="00EE6BD8">
        <w:trPr>
          <w:trHeight w:val="402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 xml:space="preserve">节目中插播广告（9：00至次日6：00 ）      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元/次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段位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时    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10秒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15秒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30秒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60秒信息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09:00-12:00     17:00-19:00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1400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2000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3700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  12:00-17:00    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850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1200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3000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19:00-22:00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630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2400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D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其它时段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480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690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980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1600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right"/>
              <w:rPr>
                <w:rFonts w:ascii="华文中宋" w:eastAsia="华文中宋" w:hAnsi="华文中宋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 xml:space="preserve">         都市套装广告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元/天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时  段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8秒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15秒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都市套装A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09:00   11:00   13:00   15:00   17:00   19:00   21:00   23:00    03:00    05:00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2200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3200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都市套装B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 10:00   12:00    14:00   16:00   18:00   20:00    22:00    02:00    04:00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都市套装C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    9:30   11:30  13:30  15:30  17:30  19:30  21:30   01:30   03:30   05:30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都市套装D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10:30    12:30   14:30   16:30   18:30   20:30   22:30    02:30    04:30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备注：都市生活套装广告7天起播。</w:t>
            </w:r>
          </w:p>
        </w:tc>
      </w:tr>
      <w:tr w:rsidR="00EE6BD8" w:rsidRPr="00EE6BD8" w:rsidTr="00EE6BD8">
        <w:trPr>
          <w:trHeight w:val="402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 xml:space="preserve">                     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 xml:space="preserve">+都市套装广告              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元/天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类 别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时  段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A级时段+都市套装任选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A级时段（15秒或8秒）×0.8+都市套装（15秒或8秒)×0.6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特A级时段(特A1、特A6除外)+都市套装任选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特A级时段（15秒或8秒）×0.85+都市套装（15秒或8秒)×0.6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6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A级时段+特A级时段(特A1特A6除外)+ 都市套装任选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(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A级时段+特A级时段)（15秒或8秒）×0.7+都市套装（15秒或8秒）×0.6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402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备注：1.该套装广告7天起播</w:t>
            </w:r>
          </w:p>
        </w:tc>
      </w:tr>
      <w:tr w:rsidR="00EE6BD8" w:rsidRPr="00EE6BD8" w:rsidTr="00EE6BD8">
        <w:trPr>
          <w:trHeight w:val="402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 xml:space="preserve">           2.广告客户选择的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东广早新闻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广告长度与排期必须与都市生活套装广告长度和排期一致。</w:t>
            </w:r>
          </w:p>
        </w:tc>
      </w:tr>
      <w:tr w:rsidR="00EE6BD8" w:rsidRPr="00EE6BD8" w:rsidTr="00EE6BD8">
        <w:trPr>
          <w:trHeight w:val="402"/>
        </w:trPr>
        <w:tc>
          <w:tcPr>
            <w:tcW w:w="934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24"/>
                <w:szCs w:val="24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4"/>
                <w:szCs w:val="24"/>
              </w:rPr>
              <w:t>特约系列广告</w:t>
            </w:r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20"/>
                <w:szCs w:val="20"/>
              </w:rPr>
              <w:t>元/月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lastRenderedPageBreak/>
              <w:t>时段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播出时间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长度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整点报时特约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9:00-次日5:00逢整点报时后，全天共计20次。（6,7,8,24点除外）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5秒+10秒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180000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都市快报特约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9：00～23：00逢整点，全天15次。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5秒+10秒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150000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时段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价格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位置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文明公益广告品牌特约</w:t>
            </w:r>
            <w:r w:rsidRPr="00EE6BD8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 xml:space="preserve">  (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由</w:t>
            </w:r>
            <w:r w:rsidRPr="00EE6BD8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ERC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策划</w:t>
            </w:r>
            <w:r w:rsidRPr="00EE6BD8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15*-30"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文明公益广告</w:t>
            </w:r>
            <w:r w:rsidRPr="00EE6BD8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+5"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品牌特约</w:t>
            </w:r>
            <w:r w:rsidRPr="00EE6BD8">
              <w:rPr>
                <w:rFonts w:ascii="Times New Roman" w:eastAsia="华文细黑" w:hAnsi="Times New Roman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单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整点东广新闻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加油站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后套播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br/>
              <w:t>（除7:00、11:00外，全天11次）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E6BD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60000/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单半点套倒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双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整点东广新闻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加油站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后套播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br/>
              <w:t>（除6:00、8:00、24:00外，全天9次）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E6BD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55000/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双半点套正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</w:tr>
      <w:tr w:rsidR="00EE6BD8" w:rsidRPr="00EE6BD8" w:rsidTr="00EE6BD8">
        <w:trPr>
          <w:trHeight w:val="402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备注</w:t>
            </w:r>
            <w:r w:rsidRPr="00EE6BD8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 xml:space="preserve">:  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套播广告</w:t>
            </w:r>
            <w:proofErr w:type="gramEnd"/>
            <w:r w:rsidRPr="00EE6BD8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30</w:t>
            </w: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天（或</w:t>
            </w:r>
            <w:r w:rsidRPr="00EE6BD8">
              <w:rPr>
                <w:rFonts w:ascii="Times New Roman" w:eastAsia="华文细黑" w:hAnsi="Times New Roman" w:cs="Times New Roman"/>
                <w:b/>
                <w:bCs/>
                <w:kern w:val="0"/>
                <w:sz w:val="16"/>
                <w:szCs w:val="16"/>
              </w:rPr>
              <w:t>31</w:t>
            </w: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天）起售。</w:t>
            </w:r>
          </w:p>
        </w:tc>
      </w:tr>
      <w:tr w:rsidR="00EE6BD8" w:rsidRPr="00EE6BD8" w:rsidTr="00EE6BD8">
        <w:trPr>
          <w:trHeight w:val="402"/>
        </w:trPr>
        <w:tc>
          <w:tcPr>
            <w:tcW w:w="647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20"/>
                <w:szCs w:val="20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0"/>
                <w:szCs w:val="20"/>
              </w:rPr>
              <w:t>节目冠名特约类广告</w:t>
            </w:r>
          </w:p>
        </w:tc>
        <w:tc>
          <w:tcPr>
            <w:tcW w:w="42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20"/>
                <w:szCs w:val="20"/>
              </w:rPr>
              <w:t>元/天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节目时段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冠名或特约广告形式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10秒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15秒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30秒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9;00-12;00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5"标版+节目中2次商业广告+该节目都市套装(4选1)滚动推广贴片8秒品牌广告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5000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17;00-19:00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5"标版+节目中2次商业广告+该节目都市套装(4选1)滚动推广贴片8秒品牌广告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3900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5000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12;00-17;00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5"标版+节目中2次商业广告+该节目都市套装(4选1)滚动推广贴片8秒品牌广告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2700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3600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4600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19;00-22;00</w:t>
            </w:r>
          </w:p>
        </w:tc>
        <w:tc>
          <w:tcPr>
            <w:tcW w:w="45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6"/>
                <w:szCs w:val="16"/>
              </w:rPr>
              <w:t>5"标版+节目中2次商业广告+该节目都市套装(4选1)滚动推广贴片8秒品牌广告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2300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2800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3600</w:t>
            </w:r>
          </w:p>
        </w:tc>
      </w:tr>
      <w:tr w:rsidR="00EE6BD8" w:rsidRPr="00EE6BD8" w:rsidTr="00EE6BD8">
        <w:trPr>
          <w:trHeight w:val="402"/>
        </w:trPr>
        <w:tc>
          <w:tcPr>
            <w:tcW w:w="1075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 xml:space="preserve">      注：1.冠名特约类广告15天起播. 2.独家冠名或特约需加收20%；3.联合特约首条加收15%，第二条加收10%。     </w:t>
            </w:r>
          </w:p>
        </w:tc>
      </w:tr>
      <w:tr w:rsidR="00EE6BD8" w:rsidRPr="00EE6BD8" w:rsidTr="00EE6BD8">
        <w:trPr>
          <w:trHeight w:val="402"/>
        </w:trPr>
        <w:tc>
          <w:tcPr>
            <w:tcW w:w="79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20"/>
                <w:szCs w:val="20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20"/>
                <w:szCs w:val="20"/>
              </w:rPr>
              <w:t xml:space="preserve">                       软性广告</w:t>
            </w:r>
          </w:p>
        </w:tc>
        <w:tc>
          <w:tcPr>
            <w:tcW w:w="28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20"/>
                <w:szCs w:val="20"/>
              </w:rPr>
              <w:t>元/次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段位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时间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1分钟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A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09:00--17:00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1500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B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05:00-06;00   17:00--19:00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1100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C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19:00--21:00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700</w:t>
            </w:r>
          </w:p>
        </w:tc>
      </w:tr>
      <w:tr w:rsidR="00EE6BD8" w:rsidRPr="00EE6BD8" w:rsidTr="00EE6BD8">
        <w:trPr>
          <w:trHeight w:val="402"/>
        </w:trPr>
        <w:tc>
          <w:tcPr>
            <w:tcW w:w="18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D</w:t>
            </w:r>
          </w:p>
        </w:tc>
        <w:tc>
          <w:tcPr>
            <w:tcW w:w="603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 xml:space="preserve">      21:00-05:00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500</w:t>
            </w:r>
          </w:p>
        </w:tc>
      </w:tr>
      <w:tr w:rsidR="00EE6BD8" w:rsidRPr="00EE6BD8" w:rsidTr="00EE6BD8">
        <w:trPr>
          <w:trHeight w:val="319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6"/>
                <w:szCs w:val="16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6"/>
                <w:szCs w:val="16"/>
              </w:rPr>
              <w:t>备注：上述软性广告时段5分钟或10分钟起播，仅限广播直销和保健品类软广告</w:t>
            </w:r>
          </w:p>
        </w:tc>
      </w:tr>
      <w:tr w:rsidR="00EE6BD8" w:rsidRPr="00EE6BD8" w:rsidTr="00EE6BD8">
        <w:trPr>
          <w:trHeight w:val="210"/>
        </w:trPr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20"/>
                <w:szCs w:val="20"/>
              </w:rPr>
            </w:pPr>
          </w:p>
        </w:tc>
      </w:tr>
      <w:tr w:rsidR="00EE6BD8" w:rsidRPr="00EE6BD8" w:rsidTr="00EE6BD8">
        <w:trPr>
          <w:trHeight w:val="285"/>
        </w:trPr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b/>
                <w:bCs/>
                <w:kern w:val="0"/>
                <w:sz w:val="18"/>
                <w:szCs w:val="18"/>
              </w:rPr>
              <w:t>特别说明:  (敬请客户在签约前仔细阅读以下各款说明,这些说明有可能成为合同要约)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15"/>
        </w:trPr>
        <w:tc>
          <w:tcPr>
            <w:tcW w:w="6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1.除整点报时和都市套装外，其它广告播出时间根据节目播出情况略有前后。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center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15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2.广告必须先付款，手续齐备方可播出。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3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3.客户指定广告段位，正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或倒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一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加收10%，正二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或倒二加收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5%</w:t>
            </w:r>
          </w:p>
        </w:tc>
      </w:tr>
      <w:tr w:rsidR="00EE6BD8" w:rsidRPr="00EE6BD8" w:rsidTr="00EE6BD8">
        <w:trPr>
          <w:trHeight w:val="330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4.广告段位满位后，须加收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刊例价值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15%。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3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E6BD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.客户单方面撤销已签订的合同，须在播出前七个工作日办理撤销手续,否则必须支付广告合同额撤消部分的10%的违约金。</w:t>
            </w:r>
          </w:p>
        </w:tc>
      </w:tr>
      <w:tr w:rsidR="00EE6BD8" w:rsidRPr="00EE6BD8" w:rsidTr="00EE6BD8">
        <w:trPr>
          <w:trHeight w:val="330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6.客户单方面变更已签订合同(订单)的时段或排期,须在广告播出前三个工作日办理变更手续。否则支付该合同(订单)时段或排期变更部分</w:t>
            </w:r>
          </w:p>
        </w:tc>
      </w:tr>
      <w:tr w:rsidR="00EE6BD8" w:rsidRPr="00EE6BD8" w:rsidTr="00EE6BD8">
        <w:trPr>
          <w:trHeight w:val="330"/>
        </w:trPr>
        <w:tc>
          <w:tcPr>
            <w:tcW w:w="4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EE6BD8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   </w:t>
            </w: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的10%广告资源占用费。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30"/>
        </w:trPr>
        <w:tc>
          <w:tcPr>
            <w:tcW w:w="79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7.各段位广告必须连续播出7天以上，不满7天的，按本频率的常规折扣上浮5个点。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15"/>
        </w:trPr>
        <w:tc>
          <w:tcPr>
            <w:tcW w:w="93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lastRenderedPageBreak/>
              <w:t>8.周五0：00—5：00 周四13：00—15：00中波AM792停机，调频FM89.9正常播出, 广告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刊例价格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及天数不减.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</w:p>
        </w:tc>
      </w:tr>
      <w:tr w:rsidR="00EE6BD8" w:rsidRPr="00EE6BD8" w:rsidTr="00EE6BD8">
        <w:trPr>
          <w:trHeight w:val="319"/>
        </w:trPr>
        <w:tc>
          <w:tcPr>
            <w:tcW w:w="107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BD8" w:rsidRPr="00EE6BD8" w:rsidRDefault="00EE6BD8" w:rsidP="00EE6BD8">
            <w:pPr>
              <w:widowControl/>
              <w:jc w:val="left"/>
              <w:rPr>
                <w:rFonts w:ascii="华文细黑" w:eastAsia="华文细黑" w:hAnsi="华文细黑" w:cs="Times New Roman"/>
                <w:kern w:val="0"/>
                <w:sz w:val="18"/>
                <w:szCs w:val="18"/>
              </w:rPr>
            </w:pPr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9.非标广告秒数计价方式 ：（1）20秒=30秒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* 80%;(2)10秒=15秒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* 80%；（3）5秒=8秒</w:t>
            </w:r>
            <w:proofErr w:type="gramStart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刊例价</w:t>
            </w:r>
            <w:proofErr w:type="gramEnd"/>
            <w:r w:rsidRPr="00EE6BD8">
              <w:rPr>
                <w:rFonts w:ascii="华文细黑" w:eastAsia="华文细黑" w:hAnsi="华文细黑" w:cs="Times New Roman" w:hint="eastAsia"/>
                <w:kern w:val="0"/>
                <w:sz w:val="18"/>
                <w:szCs w:val="18"/>
              </w:rPr>
              <w:t>* 80%</w:t>
            </w:r>
          </w:p>
        </w:tc>
      </w:tr>
    </w:tbl>
    <w:p w:rsidR="00DC5EEF" w:rsidRPr="00EE6BD8" w:rsidRDefault="00DC5EEF"/>
    <w:sectPr w:rsidR="00DC5EEF" w:rsidRPr="00EE6BD8" w:rsidSect="00DC5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6BD8"/>
    <w:rsid w:val="00DC5EEF"/>
    <w:rsid w:val="00EE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2011-01-18T08:32:00Z</dcterms:created>
  <dcterms:modified xsi:type="dcterms:W3CDTF">2011-01-18T08:33:00Z</dcterms:modified>
</cp:coreProperties>
</file>